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3B83" w14:textId="77777777" w:rsidR="009973C6" w:rsidRPr="00EB36B3" w:rsidRDefault="009973C6" w:rsidP="009973C6">
      <w:pPr>
        <w:spacing w:line="264" w:lineRule="auto"/>
        <w:ind w:left="-1134"/>
      </w:pPr>
    </w:p>
    <w:p w14:paraId="5AE09D01" w14:textId="20EBCB56" w:rsidR="00A60C5D" w:rsidRPr="00A535D7" w:rsidRDefault="006003C2" w:rsidP="006003C2">
      <w:pPr>
        <w:spacing w:before="240" w:after="240" w:line="360" w:lineRule="auto"/>
        <w:ind w:left="-1134"/>
        <w:rPr>
          <w:rFonts w:ascii="Arial" w:hAnsi="Arial" w:cs="Arial"/>
          <w:b/>
          <w:sz w:val="32"/>
          <w:szCs w:val="32"/>
        </w:rPr>
      </w:pPr>
      <w:r w:rsidRPr="00404CED">
        <w:rPr>
          <w:rFonts w:ascii="Arial" w:hAnsi="Arial"/>
          <w:b/>
          <w:sz w:val="32"/>
          <w:szCs w:val="32"/>
        </w:rPr>
        <w:t>Straight to the point: Smart Safety functions for field deployment</w:t>
      </w:r>
    </w:p>
    <w:p w14:paraId="75F41962" w14:textId="6693C23C" w:rsidR="00A60C5D" w:rsidRPr="00A535D7" w:rsidRDefault="006003C2" w:rsidP="006003C2">
      <w:pPr>
        <w:spacing w:before="240" w:after="240" w:line="360" w:lineRule="auto"/>
        <w:ind w:left="-1134"/>
        <w:rPr>
          <w:rFonts w:ascii="Arial" w:hAnsi="Arial" w:cs="Arial"/>
          <w:sz w:val="22"/>
          <w:szCs w:val="22"/>
        </w:rPr>
      </w:pPr>
      <w:r w:rsidRPr="00404CED">
        <w:rPr>
          <w:rFonts w:ascii="Arial" w:hAnsi="Arial"/>
          <w:sz w:val="22"/>
          <w:szCs w:val="22"/>
        </w:rPr>
        <w:t>(Brühl, Ju</w:t>
      </w:r>
      <w:r w:rsidR="00134FE4">
        <w:rPr>
          <w:rFonts w:ascii="Arial" w:hAnsi="Arial"/>
          <w:sz w:val="22"/>
          <w:szCs w:val="22"/>
        </w:rPr>
        <w:t>ly</w:t>
      </w:r>
      <w:r w:rsidRPr="00404CED">
        <w:rPr>
          <w:rFonts w:ascii="Arial" w:hAnsi="Arial"/>
          <w:sz w:val="22"/>
          <w:szCs w:val="22"/>
        </w:rPr>
        <w:t xml:space="preserve"> </w:t>
      </w:r>
      <w:r w:rsidR="00134FE4">
        <w:rPr>
          <w:rFonts w:ascii="Arial" w:hAnsi="Arial"/>
          <w:sz w:val="22"/>
          <w:szCs w:val="22"/>
        </w:rPr>
        <w:t>3</w:t>
      </w:r>
      <w:bookmarkStart w:id="0" w:name="_GoBack"/>
      <w:bookmarkEnd w:id="0"/>
      <w:r w:rsidRPr="00404CED">
        <w:rPr>
          <w:rFonts w:ascii="Arial" w:hAnsi="Arial"/>
          <w:sz w:val="22"/>
          <w:szCs w:val="22"/>
        </w:rPr>
        <w:t>, 2019)</w:t>
      </w:r>
    </w:p>
    <w:p w14:paraId="307EC5A1" w14:textId="07011A08" w:rsidR="00A60C5D" w:rsidRPr="006003C2" w:rsidRDefault="006003C2" w:rsidP="006003C2">
      <w:pPr>
        <w:spacing w:before="240" w:after="240" w:line="360" w:lineRule="auto"/>
        <w:ind w:left="-1134"/>
        <w:rPr>
          <w:rFonts w:ascii="Arial" w:hAnsi="Arial" w:cs="Arial"/>
          <w:b/>
          <w:color w:val="auto"/>
          <w:sz w:val="22"/>
          <w:szCs w:val="22"/>
        </w:rPr>
      </w:pPr>
      <w:r w:rsidRPr="00404CED">
        <w:rPr>
          <w:rFonts w:ascii="Arial" w:hAnsi="Arial"/>
          <w:b/>
          <w:color w:val="auto"/>
          <w:sz w:val="22"/>
          <w:szCs w:val="22"/>
        </w:rPr>
        <w:t>HIMA</w:t>
      </w:r>
      <w:r>
        <w:rPr>
          <w:rFonts w:ascii="Arial" w:hAnsi="Arial"/>
          <w:b/>
          <w:color w:val="auto"/>
          <w:sz w:val="22"/>
          <w:szCs w:val="22"/>
        </w:rPr>
        <w:t xml:space="preserve"> </w:t>
      </w:r>
      <w:r w:rsidRPr="00404CED">
        <w:rPr>
          <w:rFonts w:ascii="Arial" w:hAnsi="Arial"/>
          <w:b/>
          <w:color w:val="auto"/>
          <w:sz w:val="22"/>
          <w:szCs w:val="22"/>
        </w:rPr>
        <w:t xml:space="preserve">Paul Hildebrandt has developed the </w:t>
      </w:r>
      <w:r>
        <w:rPr>
          <w:rFonts w:ascii="Arial" w:hAnsi="Arial"/>
          <w:b/>
          <w:color w:val="auto"/>
          <w:sz w:val="22"/>
          <w:szCs w:val="22"/>
        </w:rPr>
        <w:t>decentralized</w:t>
      </w:r>
      <w:r w:rsidRPr="00404CED">
        <w:rPr>
          <w:rFonts w:ascii="Arial" w:hAnsi="Arial"/>
          <w:b/>
          <w:color w:val="auto"/>
          <w:sz w:val="22"/>
          <w:szCs w:val="22"/>
        </w:rPr>
        <w:t xml:space="preserve"> HIJunctionBox to expand the Smart Safety Platform concept directly into the field. Thanks to its suitability for </w:t>
      </w:r>
      <w:r>
        <w:rPr>
          <w:rFonts w:ascii="Arial" w:hAnsi="Arial"/>
          <w:b/>
          <w:color w:val="auto"/>
          <w:sz w:val="22"/>
          <w:szCs w:val="22"/>
        </w:rPr>
        <w:t>Ex Zone 2</w:t>
      </w:r>
      <w:r w:rsidRPr="00404CED">
        <w:rPr>
          <w:rFonts w:ascii="Arial" w:hAnsi="Arial"/>
          <w:b/>
          <w:color w:val="auto"/>
          <w:sz w:val="22"/>
          <w:szCs w:val="22"/>
        </w:rPr>
        <w:t xml:space="preserve"> explosion hazard areas, the HIJunctionBox can also be used under harsh environmental conditions. Pre-configuration and modular I/O enable fast and easy integration of the HIJunctionBox into existing installations.</w:t>
      </w:r>
    </w:p>
    <w:p w14:paraId="701C0EF1" w14:textId="2446C06A" w:rsidR="006003C2" w:rsidRPr="00404CED" w:rsidRDefault="006003C2" w:rsidP="006003C2">
      <w:pPr>
        <w:spacing w:before="240" w:after="240" w:line="360" w:lineRule="auto"/>
        <w:ind w:left="-1134"/>
        <w:rPr>
          <w:rFonts w:ascii="Arial" w:hAnsi="Arial" w:cs="Arial"/>
          <w:sz w:val="22"/>
          <w:szCs w:val="22"/>
        </w:rPr>
      </w:pPr>
      <w:r w:rsidRPr="00404CED">
        <w:rPr>
          <w:rFonts w:ascii="Arial" w:hAnsi="Arial"/>
          <w:sz w:val="22"/>
          <w:szCs w:val="22"/>
        </w:rPr>
        <w:t xml:space="preserve">The HIJunctionBox enables plant operators to implement </w:t>
      </w:r>
      <w:r w:rsidRPr="006003C2">
        <w:rPr>
          <w:rFonts w:ascii="Arial" w:hAnsi="Arial"/>
          <w:sz w:val="22"/>
          <w:szCs w:val="22"/>
        </w:rPr>
        <w:t>decentralized</w:t>
      </w:r>
      <w:r w:rsidRPr="00404CED">
        <w:rPr>
          <w:rFonts w:ascii="Arial" w:hAnsi="Arial"/>
          <w:sz w:val="22"/>
          <w:szCs w:val="22"/>
        </w:rPr>
        <w:t xml:space="preserve"> control and safety solutions extremely flexibly.</w:t>
      </w:r>
      <w:r w:rsidRPr="00404CED">
        <w:rPr>
          <w:rFonts w:ascii="Arial" w:hAnsi="Arial"/>
          <w:b/>
          <w:sz w:val="22"/>
          <w:szCs w:val="22"/>
        </w:rPr>
        <w:t xml:space="preserve"> </w:t>
      </w:r>
      <w:r w:rsidRPr="00404CED">
        <w:rPr>
          <w:rFonts w:ascii="Arial" w:hAnsi="Arial"/>
          <w:sz w:val="22"/>
          <w:szCs w:val="22"/>
        </w:rPr>
        <w:t>The uniform hardware and software design allow</w:t>
      </w:r>
      <w:r w:rsidR="00C6796C">
        <w:rPr>
          <w:rFonts w:ascii="Arial" w:hAnsi="Arial"/>
          <w:sz w:val="22"/>
          <w:szCs w:val="22"/>
        </w:rPr>
        <w:t>s</w:t>
      </w:r>
      <w:r w:rsidRPr="00404CED">
        <w:rPr>
          <w:rFonts w:ascii="Arial" w:hAnsi="Arial"/>
          <w:sz w:val="22"/>
          <w:szCs w:val="22"/>
        </w:rPr>
        <w:t xml:space="preserve"> any necessary additional modules to be retrofitted easily and implemented locally. As a result, the system architecture of an installation can always be flexibly adapted to altered requirements. In the event of loss of communication with the central system, the robust junction box continues to operate independently in the field, contributing to higher system availability.</w:t>
      </w:r>
    </w:p>
    <w:p w14:paraId="7F76316D" w14:textId="77777777" w:rsidR="006003C2" w:rsidRPr="00404CED" w:rsidRDefault="006003C2" w:rsidP="006003C2">
      <w:pPr>
        <w:spacing w:before="240" w:after="240" w:line="360" w:lineRule="auto"/>
        <w:ind w:left="-1134"/>
        <w:rPr>
          <w:rFonts w:ascii="Arial" w:hAnsi="Arial" w:cs="Arial"/>
          <w:b/>
          <w:bCs/>
          <w:sz w:val="22"/>
          <w:szCs w:val="22"/>
        </w:rPr>
      </w:pPr>
      <w:r w:rsidRPr="00404CED">
        <w:rPr>
          <w:rFonts w:ascii="Arial" w:hAnsi="Arial"/>
          <w:b/>
          <w:bCs/>
          <w:sz w:val="22"/>
          <w:szCs w:val="22"/>
        </w:rPr>
        <w:t>High flexibility</w:t>
      </w:r>
    </w:p>
    <w:p w14:paraId="745328CB" w14:textId="77777777" w:rsidR="006003C2" w:rsidRPr="00404CED" w:rsidRDefault="006003C2" w:rsidP="006003C2">
      <w:pPr>
        <w:spacing w:before="240" w:after="240" w:line="360" w:lineRule="auto"/>
        <w:ind w:left="-1134"/>
        <w:rPr>
          <w:rFonts w:ascii="Arial" w:hAnsi="Arial" w:cs="Arial"/>
          <w:sz w:val="22"/>
          <w:szCs w:val="22"/>
        </w:rPr>
      </w:pPr>
      <w:r w:rsidRPr="00404CED">
        <w:rPr>
          <w:rFonts w:ascii="Arial" w:hAnsi="Arial"/>
          <w:sz w:val="22"/>
          <w:szCs w:val="22"/>
        </w:rPr>
        <w:t xml:space="preserve">Depending on the complexity of the application, the system is based on the HIMatrix or HIMax safety controller. It can be structured as a redundant system or as a mono system. High flexibility with </w:t>
      </w:r>
      <w:bookmarkStart w:id="1" w:name="_Hlk10552325"/>
      <w:r w:rsidRPr="00404CED">
        <w:rPr>
          <w:rFonts w:ascii="Arial" w:hAnsi="Arial"/>
          <w:sz w:val="22"/>
          <w:szCs w:val="22"/>
        </w:rPr>
        <w:t>I/O</w:t>
      </w:r>
      <w:bookmarkEnd w:id="1"/>
      <w:r w:rsidRPr="00404CED">
        <w:rPr>
          <w:rFonts w:ascii="Arial" w:hAnsi="Arial"/>
          <w:sz w:val="22"/>
          <w:szCs w:val="22"/>
        </w:rPr>
        <w:t xml:space="preserve"> modules and the option of using the Reload function to transfer programming settings enable quick system expansion during live operation, even in the subsequent engineering process. A wide variety of functions can be implemented through modular I/O integration, from system control and monitoring to detailed diagnostics such as HART. </w:t>
      </w:r>
      <w:r w:rsidRPr="00404CED">
        <w:rPr>
          <w:rFonts w:ascii="Arial" w:hAnsi="Arial"/>
          <w:bCs/>
          <w:sz w:val="22"/>
          <w:szCs w:val="22"/>
        </w:rPr>
        <w:t xml:space="preserve">The HIJunctionBox is supplied pre-configured and tested. </w:t>
      </w:r>
      <w:r w:rsidRPr="00404CED">
        <w:rPr>
          <w:rFonts w:ascii="Arial" w:hAnsi="Arial"/>
          <w:sz w:val="22"/>
          <w:szCs w:val="22"/>
        </w:rPr>
        <w:t>The pretested basic structure allows factory acceptance tests (FAT) and site acceptance tests (SAT) to be shortened, resulting in faster overall commissioning.</w:t>
      </w:r>
    </w:p>
    <w:p w14:paraId="3550D9E0" w14:textId="77777777" w:rsidR="006003C2" w:rsidRPr="00404CED" w:rsidRDefault="006003C2" w:rsidP="006003C2">
      <w:pPr>
        <w:spacing w:before="240" w:after="240" w:line="360" w:lineRule="auto"/>
        <w:ind w:left="-1134"/>
        <w:rPr>
          <w:rFonts w:ascii="Arial" w:hAnsi="Arial" w:cs="Arial"/>
          <w:b/>
          <w:bCs/>
          <w:sz w:val="22"/>
          <w:szCs w:val="22"/>
        </w:rPr>
      </w:pPr>
      <w:r w:rsidRPr="00404CED">
        <w:rPr>
          <w:rFonts w:ascii="Arial" w:hAnsi="Arial"/>
          <w:b/>
          <w:bCs/>
          <w:sz w:val="22"/>
          <w:szCs w:val="22"/>
        </w:rPr>
        <w:lastRenderedPageBreak/>
        <w:t>Robust design for harsh environments</w:t>
      </w:r>
    </w:p>
    <w:p w14:paraId="79C33007" w14:textId="77777777" w:rsidR="006003C2" w:rsidRPr="00404CED" w:rsidRDefault="006003C2" w:rsidP="006003C2">
      <w:pPr>
        <w:spacing w:before="240" w:after="240" w:line="360" w:lineRule="auto"/>
        <w:ind w:left="-1134"/>
        <w:rPr>
          <w:rFonts w:ascii="Arial" w:hAnsi="Arial" w:cs="Arial"/>
          <w:sz w:val="22"/>
          <w:szCs w:val="22"/>
        </w:rPr>
      </w:pPr>
      <w:r w:rsidRPr="00404CED">
        <w:rPr>
          <w:rFonts w:ascii="Arial" w:hAnsi="Arial"/>
          <w:sz w:val="22"/>
          <w:szCs w:val="22"/>
        </w:rPr>
        <w:t>The “Control in the Field” feature of the HIJunctionBox additionally enables the plant operator to perform sophisticated control tasks on site, even under demanding environmental conditions. The HIJunctionBox is designed and built to meet the requirements of IP 66/NEMA 4X protection ratings in accordance with IEC 60529 and has a lockable 316L stainless steel enclosure with a wall thickness of 2 mm. It is certified for deployment in ATEX Zone 2 explosion hazard areas and can be used over the temperature range of –20°C to +55°C.</w:t>
      </w:r>
    </w:p>
    <w:p w14:paraId="50166B96" w14:textId="77777777" w:rsidR="006003C2" w:rsidRPr="00404CED" w:rsidRDefault="006003C2" w:rsidP="006003C2">
      <w:pPr>
        <w:spacing w:before="240" w:after="240" w:line="360" w:lineRule="auto"/>
        <w:ind w:left="-1134"/>
        <w:rPr>
          <w:rFonts w:ascii="Arial" w:hAnsi="Arial" w:cs="Arial"/>
          <w:b/>
          <w:bCs/>
          <w:sz w:val="22"/>
          <w:szCs w:val="22"/>
        </w:rPr>
      </w:pPr>
      <w:r w:rsidRPr="00404CED">
        <w:rPr>
          <w:rFonts w:ascii="Arial" w:hAnsi="Arial"/>
          <w:b/>
          <w:bCs/>
          <w:sz w:val="22"/>
          <w:szCs w:val="22"/>
        </w:rPr>
        <w:t>Lower infrastructure costs and simplified engineering</w:t>
      </w:r>
    </w:p>
    <w:p w14:paraId="072A3AD4" w14:textId="77777777" w:rsidR="006003C2" w:rsidRPr="00404CED" w:rsidRDefault="006003C2" w:rsidP="006003C2">
      <w:pPr>
        <w:spacing w:before="240" w:after="240" w:line="360" w:lineRule="auto"/>
        <w:ind w:left="-1134"/>
        <w:rPr>
          <w:rFonts w:ascii="Arial" w:hAnsi="Arial" w:cs="Arial"/>
          <w:sz w:val="22"/>
          <w:szCs w:val="22"/>
        </w:rPr>
      </w:pPr>
      <w:r w:rsidRPr="00404CED">
        <w:rPr>
          <w:rFonts w:ascii="Arial" w:hAnsi="Arial"/>
          <w:sz w:val="22"/>
          <w:szCs w:val="22"/>
        </w:rPr>
        <w:t>The HIJunctionBox can be deployed within the HIMA Smart Safety Platform or as an extension to existing control systems. The modular and standardized design of the HIJunctionBox offer plant operators additional benefits in cost effectiveness and installation planning. For example, the number of marshalling cabinets, cable trays and master cables from the control center to the field can be strongly reduced and a standardized concept with distributed HIJunctionBoxes at the process level can be implemented.</w:t>
      </w:r>
      <w:r w:rsidRPr="00404CED">
        <w:rPr>
          <w:color w:val="000000" w:themeColor="text1"/>
        </w:rPr>
        <w:t xml:space="preserve"> </w:t>
      </w:r>
      <w:r w:rsidRPr="00404CED">
        <w:rPr>
          <w:rFonts w:ascii="Arial" w:hAnsi="Arial"/>
          <w:color w:val="000000" w:themeColor="text1"/>
          <w:sz w:val="22"/>
          <w:szCs w:val="22"/>
        </w:rPr>
        <w:t xml:space="preserve">This reduces space requirements in the central rooms, some of which have costly air conditioning, and considerably simplifies cabling – both of which contribute to lower capital expenditures and optimal operating costs. </w:t>
      </w:r>
      <w:r w:rsidRPr="00404CED">
        <w:rPr>
          <w:rFonts w:ascii="Arial" w:hAnsi="Arial"/>
          <w:sz w:val="22"/>
          <w:szCs w:val="22"/>
        </w:rPr>
        <w:t>Elimination of marshalling panels between the central control room and the field signals also enables cost savings. The ability to use fiber optics for communication with existing systems further reduces capital expenditures.</w:t>
      </w:r>
    </w:p>
    <w:p w14:paraId="7A1F889D" w14:textId="77777777" w:rsidR="006003C2" w:rsidRPr="00404CED" w:rsidRDefault="006003C2" w:rsidP="006003C2">
      <w:pPr>
        <w:spacing w:before="240" w:after="240" w:line="360" w:lineRule="auto"/>
        <w:ind w:left="-1134"/>
        <w:rPr>
          <w:rFonts w:ascii="Arial" w:hAnsi="Arial" w:cs="Arial"/>
          <w:sz w:val="22"/>
          <w:szCs w:val="22"/>
        </w:rPr>
      </w:pPr>
      <w:r w:rsidRPr="00404CED">
        <w:rPr>
          <w:rFonts w:ascii="Arial" w:hAnsi="Arial"/>
          <w:sz w:val="22"/>
          <w:szCs w:val="22"/>
        </w:rPr>
        <w:t>“The HIJunctionBox is an important field expansion of our Smart Safety Platform,” says Dr. Alexander Horch, Vice President Research, Development &amp; Product Management at HIMA. “Plant operators can now benefit from the advantages of our platform directly at the plant. These include lower plant complexity and compliance with security requirements. The uniform hardware and software concept reduces operating and life cycle costs, and the modular approach offers plant operators maximum flexibility and a future-proof solution.”</w:t>
      </w:r>
    </w:p>
    <w:p w14:paraId="016C72DD" w14:textId="77777777" w:rsidR="00C6796C" w:rsidRPr="00404CED" w:rsidRDefault="00C6796C" w:rsidP="00C6796C">
      <w:pPr>
        <w:spacing w:before="240" w:after="240" w:line="360" w:lineRule="auto"/>
        <w:ind w:left="-1134"/>
        <w:rPr>
          <w:rFonts w:ascii="Arial" w:eastAsia="Times New Roman" w:hAnsi="Arial"/>
          <w:noProof/>
          <w:sz w:val="22"/>
        </w:rPr>
      </w:pPr>
      <w:r w:rsidRPr="00404CED">
        <w:rPr>
          <w:rFonts w:ascii="Arial" w:hAnsi="Arial"/>
          <w:noProof/>
          <w:sz w:val="22"/>
          <w:lang w:val="de-DE" w:eastAsia="zh-CN"/>
        </w:rPr>
        <w:lastRenderedPageBreak/>
        <w:drawing>
          <wp:inline distT="0" distB="0" distL="0" distR="0" wp14:anchorId="0BEC0A88" wp14:editId="795CBDB3">
            <wp:extent cx="2761548" cy="3682064"/>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921" cy="3689228"/>
                    </a:xfrm>
                    <a:prstGeom prst="rect">
                      <a:avLst/>
                    </a:prstGeom>
                    <a:noFill/>
                    <a:ln>
                      <a:noFill/>
                    </a:ln>
                  </pic:spPr>
                </pic:pic>
              </a:graphicData>
            </a:graphic>
          </wp:inline>
        </w:drawing>
      </w:r>
    </w:p>
    <w:p w14:paraId="387F48B9" w14:textId="77777777" w:rsidR="00C6796C" w:rsidRPr="00404CED" w:rsidRDefault="00C6796C" w:rsidP="00C6796C">
      <w:pPr>
        <w:spacing w:before="240" w:after="240" w:line="360" w:lineRule="auto"/>
        <w:ind w:left="-1134"/>
        <w:rPr>
          <w:rFonts w:ascii="Arial" w:eastAsia="Times New Roman" w:hAnsi="Arial"/>
          <w:noProof/>
          <w:sz w:val="22"/>
        </w:rPr>
      </w:pPr>
      <w:r w:rsidRPr="00404CED">
        <w:rPr>
          <w:rFonts w:ascii="Arial" w:hAnsi="Arial"/>
          <w:color w:val="auto"/>
          <w:sz w:val="22"/>
          <w:szCs w:val="22"/>
        </w:rPr>
        <w:t>The HIJunctionBox with HIMax components brings I/O channels to the field, even under demanding environmental conditions.</w:t>
      </w:r>
    </w:p>
    <w:p w14:paraId="0615C325" w14:textId="77777777" w:rsidR="00C6796C" w:rsidRPr="00404CED" w:rsidRDefault="00C6796C" w:rsidP="00C6796C">
      <w:pPr>
        <w:spacing w:before="240" w:after="240" w:line="360" w:lineRule="auto"/>
        <w:ind w:left="-1134"/>
        <w:rPr>
          <w:rFonts w:ascii="Arial" w:eastAsia="Times New Roman" w:hAnsi="Arial"/>
          <w:i/>
          <w:noProof/>
          <w:sz w:val="22"/>
        </w:rPr>
      </w:pPr>
      <w:r w:rsidRPr="00404CED">
        <w:rPr>
          <w:rFonts w:ascii="Arial" w:hAnsi="Arial"/>
          <w:i/>
          <w:sz w:val="22"/>
        </w:rPr>
        <w:t>Images © HIMA Paul Hildebrandt GmbH</w:t>
      </w:r>
    </w:p>
    <w:p w14:paraId="08D4E37E" w14:textId="6A280E45" w:rsidR="00FF54A1" w:rsidRDefault="00FF54A1" w:rsidP="00C6796C">
      <w:pPr>
        <w:spacing w:before="240" w:after="240" w:line="360" w:lineRule="auto"/>
        <w:rPr>
          <w:rFonts w:ascii="Arial" w:hAnsi="Arial" w:cs="Arial"/>
          <w:sz w:val="22"/>
          <w:szCs w:val="22"/>
        </w:rPr>
      </w:pPr>
    </w:p>
    <w:p w14:paraId="215E7999" w14:textId="4AF1666E" w:rsidR="00B27B24" w:rsidRDefault="00B27B24">
      <w:r>
        <w:br w:type="page"/>
      </w:r>
    </w:p>
    <w:p w14:paraId="086744A9" w14:textId="3CB69347" w:rsidR="009973C6" w:rsidRPr="00550A5D" w:rsidRDefault="009973C6" w:rsidP="003C6FE0">
      <w:pPr>
        <w:ind w:hanging="1134"/>
        <w:jc w:val="both"/>
        <w:rPr>
          <w:rFonts w:ascii="Arial" w:hAnsi="Arial" w:cs="Arial"/>
          <w:sz w:val="22"/>
          <w:szCs w:val="22"/>
        </w:rPr>
      </w:pPr>
      <w:r w:rsidRPr="007C3F2E">
        <w:rPr>
          <w:rFonts w:ascii="Arial" w:hAnsi="Arial" w:cs="Arial"/>
          <w:b/>
          <w:u w:val="single"/>
        </w:rPr>
        <w:lastRenderedPageBreak/>
        <w:t>About HIMA</w:t>
      </w:r>
    </w:p>
    <w:p w14:paraId="631A36CC" w14:textId="5AA86C7C" w:rsidR="00651692" w:rsidRDefault="009973C6" w:rsidP="00FF54A1">
      <w:pPr>
        <w:spacing w:before="240" w:line="360" w:lineRule="auto"/>
        <w:ind w:left="-1134"/>
        <w:jc w:val="both"/>
        <w:rPr>
          <w:rFonts w:ascii="Arial" w:hAnsi="Arial" w:cs="Arial"/>
          <w:sz w:val="22"/>
          <w:szCs w:val="22"/>
        </w:rPr>
      </w:pPr>
      <w:r w:rsidRPr="0044492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Pr>
          <w:rFonts w:ascii="Arial" w:hAnsi="Arial" w:cs="Arial"/>
          <w:sz w:val="22"/>
          <w:szCs w:val="22"/>
        </w:rPr>
        <w:t>d factories in the digital age.</w:t>
      </w:r>
      <w:r w:rsidR="00FF54A1">
        <w:rPr>
          <w:rFonts w:ascii="Arial" w:hAnsi="Arial" w:cs="Arial"/>
          <w:sz w:val="22"/>
          <w:szCs w:val="22"/>
        </w:rPr>
        <w:t xml:space="preserve"> </w:t>
      </w:r>
      <w:r w:rsidRPr="0044492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Bruehl, Germany. With a workforce of approximately 800 employees, HIMA generated </w:t>
      </w:r>
      <w:r w:rsidR="002A641E">
        <w:rPr>
          <w:rFonts w:ascii="Arial" w:hAnsi="Arial" w:cs="Arial"/>
          <w:sz w:val="22"/>
          <w:szCs w:val="22"/>
        </w:rPr>
        <w:t>a turnover of approximately €12</w:t>
      </w:r>
      <w:r w:rsidR="006E36E3">
        <w:rPr>
          <w:rFonts w:ascii="Arial" w:hAnsi="Arial" w:cs="Arial"/>
          <w:sz w:val="22"/>
          <w:szCs w:val="22"/>
        </w:rPr>
        <w:t>3</w:t>
      </w:r>
      <w:r w:rsidR="002A641E">
        <w:rPr>
          <w:rFonts w:ascii="Arial" w:hAnsi="Arial" w:cs="Arial"/>
          <w:sz w:val="22"/>
          <w:szCs w:val="22"/>
        </w:rPr>
        <w:t xml:space="preserve"> million in 201</w:t>
      </w:r>
      <w:r w:rsidR="006E36E3">
        <w:rPr>
          <w:rFonts w:ascii="Arial" w:hAnsi="Arial" w:cs="Arial"/>
          <w:sz w:val="22"/>
          <w:szCs w:val="22"/>
        </w:rPr>
        <w:t>7</w:t>
      </w:r>
      <w:r w:rsidRPr="00444929">
        <w:rPr>
          <w:rFonts w:ascii="Arial" w:hAnsi="Arial" w:cs="Arial"/>
          <w:sz w:val="22"/>
          <w:szCs w:val="22"/>
        </w:rPr>
        <w:t xml:space="preserve">. </w:t>
      </w:r>
    </w:p>
    <w:p w14:paraId="54AC75DD" w14:textId="77777777" w:rsidR="003468FA" w:rsidRDefault="003468FA" w:rsidP="00651692">
      <w:pPr>
        <w:spacing w:line="360" w:lineRule="auto"/>
        <w:ind w:left="-1134"/>
        <w:jc w:val="both"/>
        <w:rPr>
          <w:rFonts w:ascii="Arial" w:hAnsi="Arial" w:cs="Arial"/>
          <w:sz w:val="22"/>
          <w:szCs w:val="22"/>
        </w:rPr>
      </w:pPr>
    </w:p>
    <w:p w14:paraId="33A4F986" w14:textId="16FE9CE4" w:rsidR="00651692" w:rsidRPr="009973C6" w:rsidRDefault="00651692" w:rsidP="00651692">
      <w:pPr>
        <w:spacing w:line="360" w:lineRule="auto"/>
        <w:ind w:left="-1134"/>
        <w:jc w:val="both"/>
        <w:rPr>
          <w:rFonts w:ascii="Arial" w:hAnsi="Arial" w:cs="Arial"/>
          <w:sz w:val="22"/>
          <w:szCs w:val="22"/>
        </w:rPr>
      </w:pPr>
      <w:r>
        <w:rPr>
          <w:rFonts w:ascii="Arial" w:hAnsi="Arial" w:cs="Arial"/>
          <w:sz w:val="22"/>
          <w:szCs w:val="22"/>
        </w:rPr>
        <w:t xml:space="preserve">For more information, please visit: </w:t>
      </w:r>
      <w:hyperlink r:id="rId9" w:history="1">
        <w:r>
          <w:rPr>
            <w:rStyle w:val="Hyperlink"/>
            <w:rFonts w:ascii="Arial" w:hAnsi="Arial" w:cs="Arial"/>
            <w:sz w:val="22"/>
            <w:szCs w:val="22"/>
          </w:rPr>
          <w:t>www.hima.com</w:t>
        </w:r>
      </w:hyperlink>
      <w:r>
        <w:rPr>
          <w:noProof/>
          <w:lang w:val="de-DE" w:eastAsia="zh-CN"/>
        </w:rPr>
        <mc:AlternateContent>
          <mc:Choice Requires="wps">
            <w:drawing>
              <wp:anchor distT="360045" distB="45720" distL="114300" distR="114300" simplePos="0" relativeHeight="251658240" behindDoc="0" locked="0" layoutInCell="1" allowOverlap="1" wp14:anchorId="2955B5CB" wp14:editId="582BFDE4">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0" w:history="1">
                                    <w:r w:rsidRPr="00610D82">
                                      <w:rPr>
                                        <w:rStyle w:val="Hyperlink"/>
                                        <w:color w:val="FFFFFF" w:themeColor="background1"/>
                                        <w:u w:val="none"/>
                                        <w:lang w:val="fr-FR"/>
                                      </w:rPr>
                                      <w:t>d.plaga@hima.com</w:t>
                                    </w:r>
                                  </w:hyperlink>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2C1111EB" w:rsidR="00651692" w:rsidRPr="00FF54A1" w:rsidRDefault="00C6796C" w:rsidP="00012F97">
                                  <w:pPr>
                                    <w:spacing w:line="276" w:lineRule="auto"/>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00651692" w:rsidRPr="00FF54A1">
                                    <w:rPr>
                                      <w:rFonts w:ascii="Arial" w:hAnsi="Arial" w:cs="Arial"/>
                                      <w:noProof/>
                                      <w:color w:val="FFFFFF" w:themeColor="background1"/>
                                      <w:sz w:val="22"/>
                                      <w:lang w:val="de-DE"/>
                                    </w:rPr>
                                    <w:t>, 212</w:t>
                                  </w:r>
                                  <w:r>
                                    <w:rPr>
                                      <w:rFonts w:ascii="Arial" w:hAnsi="Arial" w:cs="Arial"/>
                                      <w:noProof/>
                                      <w:color w:val="FFFFFF" w:themeColor="background1"/>
                                      <w:sz w:val="22"/>
                                      <w:lang w:val="de-DE"/>
                                    </w:rPr>
                                    <w:t>44</w:t>
                                  </w:r>
                                  <w:r w:rsidR="00651692" w:rsidRPr="00FF54A1">
                                    <w:rPr>
                                      <w:rFonts w:ascii="Arial" w:hAnsi="Arial" w:cs="Arial"/>
                                      <w:noProof/>
                                      <w:color w:val="FFFFFF" w:themeColor="background1"/>
                                      <w:sz w:val="22"/>
                                      <w:lang w:val="de-DE"/>
                                    </w:rPr>
                                    <w:t xml:space="preserve"> Buchholz</w:t>
                                  </w:r>
                                </w:p>
                                <w:p w14:paraId="1011FBBD" w14:textId="77777777" w:rsidR="00651692" w:rsidRPr="00134FE4" w:rsidRDefault="00651692" w:rsidP="00012F97">
                                  <w:pPr>
                                    <w:spacing w:line="276" w:lineRule="auto"/>
                                    <w:rPr>
                                      <w:rFonts w:ascii="Arial" w:hAnsi="Arial" w:cs="Arial"/>
                                      <w:noProof/>
                                      <w:color w:val="FFFFFF" w:themeColor="background1"/>
                                      <w:sz w:val="22"/>
                                      <w:lang w:val="de-DE"/>
                                    </w:rPr>
                                  </w:pPr>
                                  <w:r w:rsidRPr="00134FE4">
                                    <w:rPr>
                                      <w:rFonts w:ascii="Arial" w:hAnsi="Arial" w:cs="Arial"/>
                                      <w:noProof/>
                                      <w:color w:val="FFFFFF" w:themeColor="background1"/>
                                      <w:sz w:val="22"/>
                                      <w:lang w:val="de-DE"/>
                                    </w:rPr>
                                    <w:t>Phone:</w:t>
                                  </w:r>
                                  <w:r w:rsidRPr="00134FE4">
                                    <w:rPr>
                                      <w:rFonts w:ascii="Arial" w:hAnsi="Arial" w:cs="Arial"/>
                                      <w:noProof/>
                                      <w:color w:val="FFFFFF" w:themeColor="background1"/>
                                      <w:sz w:val="22"/>
                                      <w:lang w:val="de-DE"/>
                                    </w:rPr>
                                    <w:tab/>
                                    <w:t xml:space="preserve">+49 (0)4181 968 09820 </w:t>
                                  </w:r>
                                </w:p>
                                <w:p w14:paraId="1CF32A0D"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326BE48A" w14:textId="52EF529C"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1"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2"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B5CB" id="_x0000_t202" coordsize="21600,21600" o:spt="202" path="m,l,21600r21600,l21600,xe">
                <v:stroke joinstyle="miter"/>
                <v:path gradientshapeok="t" o:connecttype="rect"/>
              </v:shapetype>
              <v:shape id="Textfeld 2" o:spid="_x0000_s1026" type="#_x0000_t202" style="position:absolute;left:0;text-align:left;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3" w:name="_Hlk488150510"/>
                            <w:r>
                              <w:rPr>
                                <w:rFonts w:ascii="Arial" w:eastAsia="Times New Roman" w:hAnsi="Arial" w:cs="Arial"/>
                                <w:noProof/>
                                <w:color w:val="FFFFFF" w:themeColor="background1"/>
                                <w:sz w:val="22"/>
                                <w:szCs w:val="22"/>
                              </w:rPr>
                              <w:t>Group Manager Global PR</w:t>
                            </w:r>
                            <w:bookmarkEnd w:id="3"/>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3" w:history="1">
                              <w:r w:rsidRPr="00610D82">
                                <w:rPr>
                                  <w:rStyle w:val="Hyperlink"/>
                                  <w:color w:val="FFFFFF" w:themeColor="background1"/>
                                  <w:u w:val="none"/>
                                  <w:lang w:val="fr-FR"/>
                                </w:rPr>
                                <w:t>d.plaga@hima.com</w:t>
                              </w:r>
                            </w:hyperlink>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2C1111EB" w:rsidR="00651692" w:rsidRPr="00FF54A1" w:rsidRDefault="00C6796C" w:rsidP="00012F97">
                            <w:pPr>
                              <w:spacing w:line="276" w:lineRule="auto"/>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00651692" w:rsidRPr="00FF54A1">
                              <w:rPr>
                                <w:rFonts w:ascii="Arial" w:hAnsi="Arial" w:cs="Arial"/>
                                <w:noProof/>
                                <w:color w:val="FFFFFF" w:themeColor="background1"/>
                                <w:sz w:val="22"/>
                                <w:lang w:val="de-DE"/>
                              </w:rPr>
                              <w:t>, 212</w:t>
                            </w:r>
                            <w:r>
                              <w:rPr>
                                <w:rFonts w:ascii="Arial" w:hAnsi="Arial" w:cs="Arial"/>
                                <w:noProof/>
                                <w:color w:val="FFFFFF" w:themeColor="background1"/>
                                <w:sz w:val="22"/>
                                <w:lang w:val="de-DE"/>
                              </w:rPr>
                              <w:t>44</w:t>
                            </w:r>
                            <w:r w:rsidR="00651692" w:rsidRPr="00FF54A1">
                              <w:rPr>
                                <w:rFonts w:ascii="Arial" w:hAnsi="Arial" w:cs="Arial"/>
                                <w:noProof/>
                                <w:color w:val="FFFFFF" w:themeColor="background1"/>
                                <w:sz w:val="22"/>
                                <w:lang w:val="de-DE"/>
                              </w:rPr>
                              <w:t xml:space="preserve"> Buchholz</w:t>
                            </w:r>
                          </w:p>
                          <w:p w14:paraId="1011FBBD" w14:textId="77777777" w:rsidR="00651692" w:rsidRPr="00134FE4" w:rsidRDefault="00651692" w:rsidP="00012F97">
                            <w:pPr>
                              <w:spacing w:line="276" w:lineRule="auto"/>
                              <w:rPr>
                                <w:rFonts w:ascii="Arial" w:hAnsi="Arial" w:cs="Arial"/>
                                <w:noProof/>
                                <w:color w:val="FFFFFF" w:themeColor="background1"/>
                                <w:sz w:val="22"/>
                                <w:lang w:val="de-DE"/>
                              </w:rPr>
                            </w:pPr>
                            <w:r w:rsidRPr="00134FE4">
                              <w:rPr>
                                <w:rFonts w:ascii="Arial" w:hAnsi="Arial" w:cs="Arial"/>
                                <w:noProof/>
                                <w:color w:val="FFFFFF" w:themeColor="background1"/>
                                <w:sz w:val="22"/>
                                <w:lang w:val="de-DE"/>
                              </w:rPr>
                              <w:t>Phone:</w:t>
                            </w:r>
                            <w:r w:rsidRPr="00134FE4">
                              <w:rPr>
                                <w:rFonts w:ascii="Arial" w:hAnsi="Arial" w:cs="Arial"/>
                                <w:noProof/>
                                <w:color w:val="FFFFFF" w:themeColor="background1"/>
                                <w:sz w:val="22"/>
                                <w:lang w:val="de-DE"/>
                              </w:rPr>
                              <w:tab/>
                              <w:t xml:space="preserve">+49 (0)4181 968 09820 </w:t>
                            </w:r>
                          </w:p>
                          <w:p w14:paraId="1CF32A0D" w14:textId="77777777"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14:paraId="326BE48A" w14:textId="52EF529C"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4"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5"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v:textbox>
                <w10:wrap type="square"/>
              </v:shape>
            </w:pict>
          </mc:Fallback>
        </mc:AlternateContent>
      </w:r>
    </w:p>
    <w:sectPr w:rsidR="00651692" w:rsidRPr="009973C6" w:rsidSect="00E12613">
      <w:footerReference w:type="even" r:id="rId16"/>
      <w:footerReference w:type="default" r:id="rId17"/>
      <w:headerReference w:type="first" r:id="rId18"/>
      <w:footerReference w:type="first" r:id="rId19"/>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A714" w14:textId="77777777" w:rsidR="00455218" w:rsidRDefault="00455218">
      <w:r>
        <w:separator/>
      </w:r>
    </w:p>
  </w:endnote>
  <w:endnote w:type="continuationSeparator" w:id="0">
    <w:p w14:paraId="10A3F9D5" w14:textId="77777777" w:rsidR="00455218" w:rsidRDefault="0045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MS Mincho"/>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FDE1" w14:textId="2F9BAAC8" w:rsidR="00F11B9F" w:rsidRDefault="00C750C1" w:rsidP="00F11B9F">
    <w:pPr>
      <w:pStyle w:val="Fuzeile"/>
    </w:pPr>
    <w:r>
      <w:rPr>
        <w:noProof/>
        <w:lang w:val="de-DE" w:eastAsia="zh-CN"/>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val="de-DE" w:eastAsia="zh-CN"/>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3343F"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D4CF" w14:textId="2D5EB2CC" w:rsidR="00B2452F" w:rsidRDefault="00B2452F" w:rsidP="00B2452F">
    <w:pPr>
      <w:pStyle w:val="Fuzeile"/>
    </w:pPr>
    <w:r>
      <w:rPr>
        <w:noProof/>
        <w:lang w:val="de-DE" w:eastAsia="zh-CN"/>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19EA847E"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134FE4">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val="de-DE" w:eastAsia="zh-CN"/>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5CC92"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4162" w14:textId="2C49D185" w:rsidR="005F24CC" w:rsidRDefault="005F24CC">
    <w:pPr>
      <w:pStyle w:val="Fuzeile"/>
    </w:pPr>
    <w:r>
      <w:rPr>
        <w:noProof/>
        <w:lang w:val="de-DE" w:eastAsia="zh-CN"/>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48EE" w14:textId="77777777" w:rsidR="00455218" w:rsidRDefault="00455218">
      <w:r>
        <w:separator/>
      </w:r>
    </w:p>
  </w:footnote>
  <w:footnote w:type="continuationSeparator" w:id="0">
    <w:p w14:paraId="19289111" w14:textId="77777777" w:rsidR="00455218" w:rsidRDefault="0045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03E2" w14:textId="3E538370" w:rsidR="00EF0647" w:rsidRDefault="00442A9C" w:rsidP="00B35F64">
    <w:pPr>
      <w:pStyle w:val="Kopfzeile"/>
      <w:ind w:left="-1701" w:firstLine="1701"/>
      <w:rPr>
        <w:noProof/>
        <w:lang w:val="de-DE" w:eastAsia="de-DE"/>
      </w:rPr>
    </w:pPr>
    <w:r>
      <w:rPr>
        <w:noProof/>
        <w:lang w:val="de-DE" w:eastAsia="zh-CN"/>
      </w:rPr>
      <w:drawing>
        <wp:anchor distT="0" distB="0" distL="114300" distR="114300" simplePos="0" relativeHeight="251666432" behindDoc="1" locked="0" layoutInCell="1" allowOverlap="1" wp14:anchorId="3AA455D2" wp14:editId="59B60545">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FBB88" w14:textId="51CB0C8B" w:rsidR="00EF0647" w:rsidRDefault="00EF0647" w:rsidP="00B35F64">
    <w:pPr>
      <w:pStyle w:val="Kopfzeile"/>
      <w:ind w:left="-1701" w:firstLine="1701"/>
      <w:rPr>
        <w:noProof/>
        <w:lang w:val="de-DE" w:eastAsia="de-DE"/>
      </w:rPr>
    </w:pPr>
  </w:p>
  <w:p w14:paraId="29379D64" w14:textId="32B1495C" w:rsidR="003B6D22" w:rsidRDefault="003B6D22" w:rsidP="00B35F64">
    <w:pPr>
      <w:pStyle w:val="Kopfzeile"/>
      <w:ind w:left="-1701" w:firstLine="1701"/>
      <w:rPr>
        <w:noProof/>
        <w:lang w:val="de-DE" w:eastAsia="de-DE"/>
      </w:rPr>
    </w:pPr>
  </w:p>
  <w:p w14:paraId="1FECBB52" w14:textId="70719079" w:rsidR="003B6D22" w:rsidRDefault="003B6D22" w:rsidP="00B35F64">
    <w:pPr>
      <w:pStyle w:val="Kopfzeile"/>
      <w:ind w:left="-1701" w:firstLine="1701"/>
      <w:rPr>
        <w:noProof/>
        <w:lang w:val="de-DE" w:eastAsia="de-DE"/>
      </w:rPr>
    </w:pPr>
  </w:p>
  <w:p w14:paraId="57DAED76" w14:textId="6A6411D6" w:rsidR="003B6D22" w:rsidRDefault="003B6D22" w:rsidP="00B35F64">
    <w:pPr>
      <w:pStyle w:val="Kopfzeile"/>
      <w:ind w:left="-1701" w:firstLine="1701"/>
      <w:rPr>
        <w:noProof/>
        <w:lang w:val="de-DE" w:eastAsia="de-DE"/>
      </w:rPr>
    </w:pPr>
  </w:p>
  <w:p w14:paraId="04D4BC4F" w14:textId="34CF7FB0" w:rsidR="003B6D22" w:rsidRDefault="003B6D22" w:rsidP="00B35F64">
    <w:pPr>
      <w:pStyle w:val="Kopfzeile"/>
      <w:ind w:left="-1701" w:firstLine="1701"/>
      <w:rPr>
        <w:noProof/>
        <w:lang w:val="de-DE" w:eastAsia="de-DE"/>
      </w:rPr>
    </w:pPr>
  </w:p>
  <w:p w14:paraId="7048E083" w14:textId="1C2B6E30" w:rsidR="003B6D22" w:rsidRDefault="003B6D22" w:rsidP="00B35F64">
    <w:pPr>
      <w:pStyle w:val="Kopfzeile"/>
      <w:ind w:left="-1701" w:firstLine="1701"/>
      <w:rPr>
        <w:noProof/>
        <w:lang w:val="de-DE" w:eastAsia="de-DE"/>
      </w:rPr>
    </w:pPr>
  </w:p>
  <w:p w14:paraId="36D9FC2C" w14:textId="1ED1A8E9" w:rsidR="003B6D22" w:rsidRPr="00EF0647" w:rsidRDefault="003B6D22" w:rsidP="00B35F64">
    <w:pPr>
      <w:pStyle w:val="Kopfzeile"/>
      <w:ind w:left="-1701" w:firstLine="1701"/>
      <w:rPr>
        <w:noProof/>
        <w:sz w:val="22"/>
        <w:lang w:val="de-DE" w:eastAsia="de-DE"/>
      </w:rPr>
    </w:pPr>
  </w:p>
  <w:p w14:paraId="63AC041E" w14:textId="77777777" w:rsidR="003B6D22" w:rsidRDefault="003B6D22" w:rsidP="00C1784F">
    <w:pPr>
      <w:pStyle w:val="Kopfzeile"/>
      <w:ind w:left="-1701" w:firstLine="1701"/>
      <w:jc w:val="right"/>
      <w:rPr>
        <w:noProof/>
        <w:lang w:val="de-DE" w:eastAsia="de-DE"/>
      </w:rPr>
    </w:pPr>
  </w:p>
  <w:p w14:paraId="5926CE76" w14:textId="0421E78F" w:rsidR="003B6D22" w:rsidRDefault="003B6D22" w:rsidP="00B35F64">
    <w:pPr>
      <w:pStyle w:val="Kopfzeile"/>
      <w:ind w:left="-1701" w:firstLine="1701"/>
      <w:rPr>
        <w:noProof/>
        <w:lang w:val="de-DE" w:eastAsia="de-DE"/>
      </w:rPr>
    </w:pPr>
  </w:p>
  <w:p w14:paraId="40CB5D5C" w14:textId="258F5592" w:rsidR="003B6D22" w:rsidRDefault="003B6D22" w:rsidP="00B35F64">
    <w:pPr>
      <w:pStyle w:val="Kopfzeile"/>
      <w:ind w:left="-1701" w:firstLine="1701"/>
      <w:rPr>
        <w:noProof/>
        <w:lang w:val="de-DE" w:eastAsia="de-DE"/>
      </w:rPr>
    </w:pPr>
  </w:p>
  <w:p w14:paraId="54C959C1" w14:textId="77777777" w:rsidR="003B6D22" w:rsidRDefault="003B6D22" w:rsidP="00B35F64">
    <w:pPr>
      <w:pStyle w:val="Kopfzeile"/>
      <w:ind w:left="-1701" w:firstLine="1701"/>
      <w:rPr>
        <w:noProof/>
        <w:lang w:val="de-DE" w:eastAsia="de-DE"/>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CD0"/>
    <w:rsid w:val="00024A3F"/>
    <w:rsid w:val="00030677"/>
    <w:rsid w:val="0003571F"/>
    <w:rsid w:val="00036CE8"/>
    <w:rsid w:val="00036D67"/>
    <w:rsid w:val="000430EC"/>
    <w:rsid w:val="00057741"/>
    <w:rsid w:val="0006268C"/>
    <w:rsid w:val="000654C0"/>
    <w:rsid w:val="00070134"/>
    <w:rsid w:val="000730C1"/>
    <w:rsid w:val="00076A9F"/>
    <w:rsid w:val="00082F44"/>
    <w:rsid w:val="0008557E"/>
    <w:rsid w:val="000878B3"/>
    <w:rsid w:val="000900B4"/>
    <w:rsid w:val="00094408"/>
    <w:rsid w:val="000A45AE"/>
    <w:rsid w:val="000B0D4D"/>
    <w:rsid w:val="000B4238"/>
    <w:rsid w:val="000C6454"/>
    <w:rsid w:val="000D0A86"/>
    <w:rsid w:val="000D26EF"/>
    <w:rsid w:val="000D4435"/>
    <w:rsid w:val="000D7E92"/>
    <w:rsid w:val="000E0544"/>
    <w:rsid w:val="000E6C11"/>
    <w:rsid w:val="000E71B3"/>
    <w:rsid w:val="000E7DB6"/>
    <w:rsid w:val="000F1B00"/>
    <w:rsid w:val="000F375F"/>
    <w:rsid w:val="000F6DC3"/>
    <w:rsid w:val="001018E3"/>
    <w:rsid w:val="001037E1"/>
    <w:rsid w:val="001060A4"/>
    <w:rsid w:val="001065C6"/>
    <w:rsid w:val="00106DFA"/>
    <w:rsid w:val="0010726A"/>
    <w:rsid w:val="00112AC4"/>
    <w:rsid w:val="00113EAB"/>
    <w:rsid w:val="001142EF"/>
    <w:rsid w:val="0011508F"/>
    <w:rsid w:val="0012013D"/>
    <w:rsid w:val="00120758"/>
    <w:rsid w:val="00120AF6"/>
    <w:rsid w:val="00121339"/>
    <w:rsid w:val="00122C81"/>
    <w:rsid w:val="00125DE3"/>
    <w:rsid w:val="00126E62"/>
    <w:rsid w:val="001333C0"/>
    <w:rsid w:val="00134FE4"/>
    <w:rsid w:val="00135E39"/>
    <w:rsid w:val="0014092F"/>
    <w:rsid w:val="00141C77"/>
    <w:rsid w:val="00151332"/>
    <w:rsid w:val="00153D37"/>
    <w:rsid w:val="0016380E"/>
    <w:rsid w:val="00171633"/>
    <w:rsid w:val="00172B80"/>
    <w:rsid w:val="00175579"/>
    <w:rsid w:val="00175B8F"/>
    <w:rsid w:val="00185DC3"/>
    <w:rsid w:val="001861AC"/>
    <w:rsid w:val="00190509"/>
    <w:rsid w:val="00190B32"/>
    <w:rsid w:val="00191126"/>
    <w:rsid w:val="001960FD"/>
    <w:rsid w:val="001A428F"/>
    <w:rsid w:val="001B1128"/>
    <w:rsid w:val="001B1AC9"/>
    <w:rsid w:val="001C2089"/>
    <w:rsid w:val="001C4B50"/>
    <w:rsid w:val="001D0745"/>
    <w:rsid w:val="001D2307"/>
    <w:rsid w:val="001D573A"/>
    <w:rsid w:val="001D70E3"/>
    <w:rsid w:val="001D7251"/>
    <w:rsid w:val="001E2B94"/>
    <w:rsid w:val="001F2575"/>
    <w:rsid w:val="002012D8"/>
    <w:rsid w:val="002016EF"/>
    <w:rsid w:val="00202B65"/>
    <w:rsid w:val="002054E4"/>
    <w:rsid w:val="00214F2A"/>
    <w:rsid w:val="002225C7"/>
    <w:rsid w:val="0022337D"/>
    <w:rsid w:val="002236B5"/>
    <w:rsid w:val="002275B3"/>
    <w:rsid w:val="00227F95"/>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73698"/>
    <w:rsid w:val="00277F72"/>
    <w:rsid w:val="0028068D"/>
    <w:rsid w:val="00281D85"/>
    <w:rsid w:val="0028263A"/>
    <w:rsid w:val="002838E9"/>
    <w:rsid w:val="00291597"/>
    <w:rsid w:val="0029194F"/>
    <w:rsid w:val="00292BDA"/>
    <w:rsid w:val="00296B71"/>
    <w:rsid w:val="002A0287"/>
    <w:rsid w:val="002A151F"/>
    <w:rsid w:val="002A5ABC"/>
    <w:rsid w:val="002A641E"/>
    <w:rsid w:val="002A6843"/>
    <w:rsid w:val="002A7FDE"/>
    <w:rsid w:val="002B1009"/>
    <w:rsid w:val="002C22F1"/>
    <w:rsid w:val="002C5768"/>
    <w:rsid w:val="002C79BD"/>
    <w:rsid w:val="002D434F"/>
    <w:rsid w:val="002D5BDC"/>
    <w:rsid w:val="002E01FA"/>
    <w:rsid w:val="002E4EAC"/>
    <w:rsid w:val="002E5CE8"/>
    <w:rsid w:val="002E6CBA"/>
    <w:rsid w:val="002E7431"/>
    <w:rsid w:val="002F5FA0"/>
    <w:rsid w:val="00301779"/>
    <w:rsid w:val="00302635"/>
    <w:rsid w:val="0030739B"/>
    <w:rsid w:val="00307BE8"/>
    <w:rsid w:val="00317F9D"/>
    <w:rsid w:val="003213C3"/>
    <w:rsid w:val="00322E46"/>
    <w:rsid w:val="0032363E"/>
    <w:rsid w:val="0032430E"/>
    <w:rsid w:val="0032525D"/>
    <w:rsid w:val="00330CE3"/>
    <w:rsid w:val="00333796"/>
    <w:rsid w:val="003345B2"/>
    <w:rsid w:val="00340E1C"/>
    <w:rsid w:val="0034398B"/>
    <w:rsid w:val="003445FE"/>
    <w:rsid w:val="00344910"/>
    <w:rsid w:val="003468FA"/>
    <w:rsid w:val="00350D51"/>
    <w:rsid w:val="003523EA"/>
    <w:rsid w:val="00356E0A"/>
    <w:rsid w:val="003642CA"/>
    <w:rsid w:val="00366A3C"/>
    <w:rsid w:val="0037447B"/>
    <w:rsid w:val="003809A9"/>
    <w:rsid w:val="00385BBD"/>
    <w:rsid w:val="00387D8F"/>
    <w:rsid w:val="003930A8"/>
    <w:rsid w:val="003931FA"/>
    <w:rsid w:val="00394C7D"/>
    <w:rsid w:val="00397993"/>
    <w:rsid w:val="003A7D3C"/>
    <w:rsid w:val="003B4BC3"/>
    <w:rsid w:val="003B51D5"/>
    <w:rsid w:val="003B525F"/>
    <w:rsid w:val="003B6D22"/>
    <w:rsid w:val="003C6FE0"/>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21F90"/>
    <w:rsid w:val="00424578"/>
    <w:rsid w:val="0042482C"/>
    <w:rsid w:val="00440A28"/>
    <w:rsid w:val="00441B9C"/>
    <w:rsid w:val="00442A9C"/>
    <w:rsid w:val="00452909"/>
    <w:rsid w:val="00454A74"/>
    <w:rsid w:val="00455218"/>
    <w:rsid w:val="00460AA9"/>
    <w:rsid w:val="00461CC1"/>
    <w:rsid w:val="0046363C"/>
    <w:rsid w:val="004644EE"/>
    <w:rsid w:val="00466261"/>
    <w:rsid w:val="004665E4"/>
    <w:rsid w:val="004670E6"/>
    <w:rsid w:val="004709F9"/>
    <w:rsid w:val="0048113A"/>
    <w:rsid w:val="004813D9"/>
    <w:rsid w:val="004852BA"/>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7235"/>
    <w:rsid w:val="004D0F06"/>
    <w:rsid w:val="004D17B2"/>
    <w:rsid w:val="004D2E1C"/>
    <w:rsid w:val="004D3A11"/>
    <w:rsid w:val="004D73CE"/>
    <w:rsid w:val="004E1DDE"/>
    <w:rsid w:val="004E5E4D"/>
    <w:rsid w:val="004F0FED"/>
    <w:rsid w:val="004F1333"/>
    <w:rsid w:val="004F3717"/>
    <w:rsid w:val="004F71CC"/>
    <w:rsid w:val="004F7C53"/>
    <w:rsid w:val="0050045C"/>
    <w:rsid w:val="005030B9"/>
    <w:rsid w:val="00504F00"/>
    <w:rsid w:val="00506664"/>
    <w:rsid w:val="00506A98"/>
    <w:rsid w:val="00510CD5"/>
    <w:rsid w:val="00515057"/>
    <w:rsid w:val="0051786B"/>
    <w:rsid w:val="00542DFA"/>
    <w:rsid w:val="00543401"/>
    <w:rsid w:val="005445D0"/>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570E"/>
    <w:rsid w:val="005A7D2E"/>
    <w:rsid w:val="005B05CA"/>
    <w:rsid w:val="005B395C"/>
    <w:rsid w:val="005B466D"/>
    <w:rsid w:val="005C4787"/>
    <w:rsid w:val="005D1E63"/>
    <w:rsid w:val="005D5D4C"/>
    <w:rsid w:val="005E7D6D"/>
    <w:rsid w:val="005F24CC"/>
    <w:rsid w:val="005F5CC3"/>
    <w:rsid w:val="005F6A72"/>
    <w:rsid w:val="006003C2"/>
    <w:rsid w:val="00603129"/>
    <w:rsid w:val="006070E8"/>
    <w:rsid w:val="00607CAD"/>
    <w:rsid w:val="00610D94"/>
    <w:rsid w:val="006224C8"/>
    <w:rsid w:val="00624FDA"/>
    <w:rsid w:val="006255C1"/>
    <w:rsid w:val="006267AB"/>
    <w:rsid w:val="0063019C"/>
    <w:rsid w:val="00632B6C"/>
    <w:rsid w:val="00636D05"/>
    <w:rsid w:val="00642640"/>
    <w:rsid w:val="00643196"/>
    <w:rsid w:val="006444C0"/>
    <w:rsid w:val="0064768A"/>
    <w:rsid w:val="00651337"/>
    <w:rsid w:val="00651692"/>
    <w:rsid w:val="00655CBC"/>
    <w:rsid w:val="00656FE7"/>
    <w:rsid w:val="006625CF"/>
    <w:rsid w:val="00667097"/>
    <w:rsid w:val="00670C25"/>
    <w:rsid w:val="00674FB8"/>
    <w:rsid w:val="00676EDA"/>
    <w:rsid w:val="0068115E"/>
    <w:rsid w:val="00686234"/>
    <w:rsid w:val="0069090A"/>
    <w:rsid w:val="00692336"/>
    <w:rsid w:val="006A1FEC"/>
    <w:rsid w:val="006A5EAD"/>
    <w:rsid w:val="006A75F1"/>
    <w:rsid w:val="006B411F"/>
    <w:rsid w:val="006C176F"/>
    <w:rsid w:val="006C2213"/>
    <w:rsid w:val="006C6C11"/>
    <w:rsid w:val="006E2D8D"/>
    <w:rsid w:val="006E36E3"/>
    <w:rsid w:val="006E3E78"/>
    <w:rsid w:val="006F0616"/>
    <w:rsid w:val="006F7CC9"/>
    <w:rsid w:val="00700983"/>
    <w:rsid w:val="00701BB9"/>
    <w:rsid w:val="00704391"/>
    <w:rsid w:val="00715CEC"/>
    <w:rsid w:val="00717E91"/>
    <w:rsid w:val="00724637"/>
    <w:rsid w:val="0073343F"/>
    <w:rsid w:val="00733AE3"/>
    <w:rsid w:val="0073681E"/>
    <w:rsid w:val="00741239"/>
    <w:rsid w:val="00750413"/>
    <w:rsid w:val="00750C09"/>
    <w:rsid w:val="00750E9A"/>
    <w:rsid w:val="00751C7E"/>
    <w:rsid w:val="00757BE9"/>
    <w:rsid w:val="00761B24"/>
    <w:rsid w:val="00761C57"/>
    <w:rsid w:val="0076336C"/>
    <w:rsid w:val="0076476C"/>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DEA"/>
    <w:rsid w:val="007C16BB"/>
    <w:rsid w:val="007C1839"/>
    <w:rsid w:val="007D192C"/>
    <w:rsid w:val="007D71C3"/>
    <w:rsid w:val="007D7D22"/>
    <w:rsid w:val="007E1CE2"/>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3D34"/>
    <w:rsid w:val="00916FA5"/>
    <w:rsid w:val="0092003A"/>
    <w:rsid w:val="009274BD"/>
    <w:rsid w:val="00932E3B"/>
    <w:rsid w:val="00933EAF"/>
    <w:rsid w:val="00942FD5"/>
    <w:rsid w:val="00943F4E"/>
    <w:rsid w:val="00944359"/>
    <w:rsid w:val="00945738"/>
    <w:rsid w:val="0095162D"/>
    <w:rsid w:val="00956FEF"/>
    <w:rsid w:val="00960010"/>
    <w:rsid w:val="0096029B"/>
    <w:rsid w:val="00964B5E"/>
    <w:rsid w:val="00965243"/>
    <w:rsid w:val="009674F4"/>
    <w:rsid w:val="00970105"/>
    <w:rsid w:val="009704B7"/>
    <w:rsid w:val="00976D50"/>
    <w:rsid w:val="00992255"/>
    <w:rsid w:val="0099401A"/>
    <w:rsid w:val="00996E7E"/>
    <w:rsid w:val="009973C6"/>
    <w:rsid w:val="009A351F"/>
    <w:rsid w:val="009A452B"/>
    <w:rsid w:val="009B041F"/>
    <w:rsid w:val="009B1277"/>
    <w:rsid w:val="009B6C1B"/>
    <w:rsid w:val="009C2184"/>
    <w:rsid w:val="009C33B3"/>
    <w:rsid w:val="009C4C08"/>
    <w:rsid w:val="009C5510"/>
    <w:rsid w:val="009C553B"/>
    <w:rsid w:val="009C6BA2"/>
    <w:rsid w:val="009C78FA"/>
    <w:rsid w:val="009D1257"/>
    <w:rsid w:val="009D600F"/>
    <w:rsid w:val="009E54BE"/>
    <w:rsid w:val="009F79AC"/>
    <w:rsid w:val="00A04E8D"/>
    <w:rsid w:val="00A07672"/>
    <w:rsid w:val="00A13594"/>
    <w:rsid w:val="00A14677"/>
    <w:rsid w:val="00A15D1F"/>
    <w:rsid w:val="00A162DF"/>
    <w:rsid w:val="00A16BE6"/>
    <w:rsid w:val="00A206E8"/>
    <w:rsid w:val="00A22467"/>
    <w:rsid w:val="00A24863"/>
    <w:rsid w:val="00A30DD0"/>
    <w:rsid w:val="00A328D6"/>
    <w:rsid w:val="00A35F88"/>
    <w:rsid w:val="00A47028"/>
    <w:rsid w:val="00A50B50"/>
    <w:rsid w:val="00A54471"/>
    <w:rsid w:val="00A54B0A"/>
    <w:rsid w:val="00A54DE2"/>
    <w:rsid w:val="00A57E1E"/>
    <w:rsid w:val="00A60C5D"/>
    <w:rsid w:val="00A77B16"/>
    <w:rsid w:val="00A81109"/>
    <w:rsid w:val="00A82A25"/>
    <w:rsid w:val="00A83E2A"/>
    <w:rsid w:val="00A85BE1"/>
    <w:rsid w:val="00A86973"/>
    <w:rsid w:val="00A90C86"/>
    <w:rsid w:val="00A91CA5"/>
    <w:rsid w:val="00A934CD"/>
    <w:rsid w:val="00A935AA"/>
    <w:rsid w:val="00AB1A79"/>
    <w:rsid w:val="00AB1C0E"/>
    <w:rsid w:val="00AB750B"/>
    <w:rsid w:val="00AC7E58"/>
    <w:rsid w:val="00AD0CDF"/>
    <w:rsid w:val="00AD5C0A"/>
    <w:rsid w:val="00AD6084"/>
    <w:rsid w:val="00AE12C1"/>
    <w:rsid w:val="00AF16A9"/>
    <w:rsid w:val="00AF1D6E"/>
    <w:rsid w:val="00AF60E3"/>
    <w:rsid w:val="00B004BD"/>
    <w:rsid w:val="00B02E7B"/>
    <w:rsid w:val="00B0429E"/>
    <w:rsid w:val="00B04E49"/>
    <w:rsid w:val="00B06CD7"/>
    <w:rsid w:val="00B07B0E"/>
    <w:rsid w:val="00B125E1"/>
    <w:rsid w:val="00B1270E"/>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8EA"/>
    <w:rsid w:val="00B465F4"/>
    <w:rsid w:val="00B47CC4"/>
    <w:rsid w:val="00B5350E"/>
    <w:rsid w:val="00B55A33"/>
    <w:rsid w:val="00B703B1"/>
    <w:rsid w:val="00B7467F"/>
    <w:rsid w:val="00B759C5"/>
    <w:rsid w:val="00B7700A"/>
    <w:rsid w:val="00B8238B"/>
    <w:rsid w:val="00B84007"/>
    <w:rsid w:val="00B916B6"/>
    <w:rsid w:val="00B95BCE"/>
    <w:rsid w:val="00B96B27"/>
    <w:rsid w:val="00BA0300"/>
    <w:rsid w:val="00BB0E10"/>
    <w:rsid w:val="00BB15D9"/>
    <w:rsid w:val="00BC1D08"/>
    <w:rsid w:val="00BC5969"/>
    <w:rsid w:val="00BC5C2E"/>
    <w:rsid w:val="00BD2F78"/>
    <w:rsid w:val="00BE3946"/>
    <w:rsid w:val="00BE4CCB"/>
    <w:rsid w:val="00BE57FE"/>
    <w:rsid w:val="00BE7326"/>
    <w:rsid w:val="00BE7EC5"/>
    <w:rsid w:val="00BF0A94"/>
    <w:rsid w:val="00BF67A3"/>
    <w:rsid w:val="00BF6A08"/>
    <w:rsid w:val="00C038A1"/>
    <w:rsid w:val="00C108C2"/>
    <w:rsid w:val="00C11EE4"/>
    <w:rsid w:val="00C14470"/>
    <w:rsid w:val="00C175E0"/>
    <w:rsid w:val="00C1784F"/>
    <w:rsid w:val="00C2343A"/>
    <w:rsid w:val="00C23C3A"/>
    <w:rsid w:val="00C26FF0"/>
    <w:rsid w:val="00C3172E"/>
    <w:rsid w:val="00C34F07"/>
    <w:rsid w:val="00C40266"/>
    <w:rsid w:val="00C40FDA"/>
    <w:rsid w:val="00C431CC"/>
    <w:rsid w:val="00C437D3"/>
    <w:rsid w:val="00C45B4D"/>
    <w:rsid w:val="00C61483"/>
    <w:rsid w:val="00C62C7A"/>
    <w:rsid w:val="00C6745C"/>
    <w:rsid w:val="00C6796C"/>
    <w:rsid w:val="00C721F4"/>
    <w:rsid w:val="00C73520"/>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4590"/>
    <w:rsid w:val="00D1652B"/>
    <w:rsid w:val="00D27EC7"/>
    <w:rsid w:val="00D31574"/>
    <w:rsid w:val="00D32162"/>
    <w:rsid w:val="00D32938"/>
    <w:rsid w:val="00D40A02"/>
    <w:rsid w:val="00D45D38"/>
    <w:rsid w:val="00D463FB"/>
    <w:rsid w:val="00D50741"/>
    <w:rsid w:val="00D52897"/>
    <w:rsid w:val="00D575A5"/>
    <w:rsid w:val="00D64272"/>
    <w:rsid w:val="00D74DF6"/>
    <w:rsid w:val="00D76A80"/>
    <w:rsid w:val="00D9082F"/>
    <w:rsid w:val="00DA5A00"/>
    <w:rsid w:val="00DA7A29"/>
    <w:rsid w:val="00DB0110"/>
    <w:rsid w:val="00DB3B6B"/>
    <w:rsid w:val="00DB5AB2"/>
    <w:rsid w:val="00DC0523"/>
    <w:rsid w:val="00DC0C63"/>
    <w:rsid w:val="00DC1714"/>
    <w:rsid w:val="00DC4F27"/>
    <w:rsid w:val="00DC63F4"/>
    <w:rsid w:val="00DD14AB"/>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4821"/>
    <w:rsid w:val="00E14A9C"/>
    <w:rsid w:val="00E207B4"/>
    <w:rsid w:val="00E207F8"/>
    <w:rsid w:val="00E20895"/>
    <w:rsid w:val="00E224FE"/>
    <w:rsid w:val="00E40418"/>
    <w:rsid w:val="00E41E26"/>
    <w:rsid w:val="00E47953"/>
    <w:rsid w:val="00E51DAA"/>
    <w:rsid w:val="00E55A76"/>
    <w:rsid w:val="00E55EF9"/>
    <w:rsid w:val="00E60E5C"/>
    <w:rsid w:val="00E62704"/>
    <w:rsid w:val="00E633AF"/>
    <w:rsid w:val="00E75856"/>
    <w:rsid w:val="00E812C1"/>
    <w:rsid w:val="00E81E9D"/>
    <w:rsid w:val="00E929B2"/>
    <w:rsid w:val="00E96785"/>
    <w:rsid w:val="00EA2969"/>
    <w:rsid w:val="00EA2CFB"/>
    <w:rsid w:val="00EA39F8"/>
    <w:rsid w:val="00EA6EB1"/>
    <w:rsid w:val="00EB0DAB"/>
    <w:rsid w:val="00EB36B3"/>
    <w:rsid w:val="00EB5030"/>
    <w:rsid w:val="00EB5D4D"/>
    <w:rsid w:val="00EB72BB"/>
    <w:rsid w:val="00EC2746"/>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67D5"/>
    <w:rsid w:val="00EF6B16"/>
    <w:rsid w:val="00F07313"/>
    <w:rsid w:val="00F11B9F"/>
    <w:rsid w:val="00F12BD1"/>
    <w:rsid w:val="00F1448A"/>
    <w:rsid w:val="00F17309"/>
    <w:rsid w:val="00F2068C"/>
    <w:rsid w:val="00F21C01"/>
    <w:rsid w:val="00F230BB"/>
    <w:rsid w:val="00F2548F"/>
    <w:rsid w:val="00F26F38"/>
    <w:rsid w:val="00F35A73"/>
    <w:rsid w:val="00F55417"/>
    <w:rsid w:val="00F57240"/>
    <w:rsid w:val="00F62793"/>
    <w:rsid w:val="00F66695"/>
    <w:rsid w:val="00F67343"/>
    <w:rsid w:val="00F73A80"/>
    <w:rsid w:val="00F7766F"/>
    <w:rsid w:val="00F80B3D"/>
    <w:rsid w:val="00F82989"/>
    <w:rsid w:val="00F84F50"/>
    <w:rsid w:val="00F871B2"/>
    <w:rsid w:val="00F91DD9"/>
    <w:rsid w:val="00F929A1"/>
    <w:rsid w:val="00FA0A90"/>
    <w:rsid w:val="00FA1E85"/>
    <w:rsid w:val="00FA245F"/>
    <w:rsid w:val="00FB0EF5"/>
    <w:rsid w:val="00FC16EA"/>
    <w:rsid w:val="00FC511A"/>
    <w:rsid w:val="00FC523C"/>
    <w:rsid w:val="00FD0489"/>
    <w:rsid w:val="00FD0F9C"/>
    <w:rsid w:val="00FE0160"/>
    <w:rsid w:val="00FE273D"/>
    <w:rsid w:val="00FE306F"/>
    <w:rsid w:val="00FE40CD"/>
    <w:rsid w:val="00FE6FEE"/>
    <w:rsid w:val="00FF22A0"/>
    <w:rsid w:val="00FF30D3"/>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DE7AD1"/>
  <w15:docId w15:val="{1B2CD4DF-609A-4498-8F37-0D5807E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laga@him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tte@technical-gro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erten@publitek.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tte@technical-group.com" TargetMode="External"/><Relationship Id="rId23" Type="http://schemas.openxmlformats.org/officeDocument/2006/relationships/customXml" Target="../customXml/item3.xml"/><Relationship Id="rId10" Type="http://schemas.openxmlformats.org/officeDocument/2006/relationships/hyperlink" Target="mailto:d.plaga@him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ma.com" TargetMode="External"/><Relationship Id="rId14" Type="http://schemas.openxmlformats.org/officeDocument/2006/relationships/hyperlink" Target="mailto:mark.herten@publitek.com"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37516490-1E9E-445E-BE4A-B5B01D81229F}">
  <ds:schemaRefs>
    <ds:schemaRef ds:uri="http://schemas.openxmlformats.org/officeDocument/2006/bibliography"/>
  </ds:schemaRefs>
</ds:datastoreItem>
</file>

<file path=customXml/itemProps2.xml><?xml version="1.0" encoding="utf-8"?>
<ds:datastoreItem xmlns:ds="http://schemas.openxmlformats.org/officeDocument/2006/customXml" ds:itemID="{6E1D95C1-1C65-4449-B334-675D3F5B59DC}"/>
</file>

<file path=customXml/itemProps3.xml><?xml version="1.0" encoding="utf-8"?>
<ds:datastoreItem xmlns:ds="http://schemas.openxmlformats.org/officeDocument/2006/customXml" ds:itemID="{959DA5F9-D293-4322-A754-9F08D1CB5356}"/>
</file>

<file path=customXml/itemProps4.xml><?xml version="1.0" encoding="utf-8"?>
<ds:datastoreItem xmlns:ds="http://schemas.openxmlformats.org/officeDocument/2006/customXml" ds:itemID="{734E9248-5E49-496B-B0CB-C0461D3C439B}"/>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5500</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Plaga, Daniel</cp:lastModifiedBy>
  <cp:revision>23</cp:revision>
  <cp:lastPrinted>2017-04-27T12:14:00Z</cp:lastPrinted>
  <dcterms:created xsi:type="dcterms:W3CDTF">2017-06-09T14:02:00Z</dcterms:created>
  <dcterms:modified xsi:type="dcterms:W3CDTF">2019-07-01T12:05:00Z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